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 xml:space="preserve">ART. 43 L.R. 19/2019, ART. 5 D.P.R. 357/97 </w:t>
      </w:r>
      <w:r>
        <w:rPr>
          <w:rFonts w:cs="Calibri" w:ascii="Calibri" w:hAnsi="Calibri"/>
          <w:b/>
          <w:bCs/>
          <w:sz w:val="40"/>
          <w:szCs w:val="40"/>
        </w:rPr>
        <w:t>e s.m.i</w:t>
      </w:r>
    </w:p>
    <w:p>
      <w:pPr>
        <w:pStyle w:val="BodyText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44"/>
          <w:szCs w:val="44"/>
          <w:u w:val="none"/>
          <w:shd w:fill="auto" w:val="clear"/>
          <w:em w:val="none"/>
          <w:lang w:val="it-IT"/>
        </w:rPr>
        <w:t>- Eventi podistici, ciclistici o equestri anche su viabilità chiusa al transito per i mezzi motorizzati e su rete sentieristica ed eventi sui laghi -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3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729FC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VERIFICA DI CORRISPONDENZA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per Progetti/Interventi/Attività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>PREVALUTATI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360" w:start="639" w:end="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hanging="360" w:start="639" w:end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314"/>
              <w:ind w:hanging="360" w:start="639" w:end="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Heading4"/>
        <w:ind w:hanging="0" w:star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è stata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pres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visione della informativa riguardante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8"/>
        <w:gridCol w:w="3512"/>
        <w:gridCol w:w="1377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hanging="360" w:start="517" w:end="0"/>
              <w:jc w:val="both"/>
              <w:rPr/>
            </w:pPr>
            <w:r>
              <w:rPr>
                <w:rFonts w:cs="Calibri" w:ascii="Calibri" w:hAnsi="Calibri"/>
              </w:rPr>
              <w:t xml:space="preserve">È </w:t>
            </w:r>
            <w:r>
              <w:rPr>
                <w:rFonts w:cs="Calibri" w:ascii="Calibri" w:hAnsi="Calibri"/>
              </w:rPr>
              <w:t xml:space="preserve">conforme e rispetta i divieti e gli obblighi </w:t>
            </w:r>
            <w:r>
              <w:rPr>
                <w:rFonts w:cs="Calibri" w:ascii="Calibri" w:hAnsi="Calibri"/>
              </w:rPr>
              <w:t xml:space="preserve">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  <w:lang w:val="it-IT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0" w:start="517" w:end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BodyText"/>
              <w:spacing w:before="60" w:after="0"/>
              <w:ind w:hanging="0" w:start="57" w:end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BodyText"/>
              <w:spacing w:lineRule="auto" w:line="240" w:before="0" w:after="0"/>
              <w:ind w:hanging="0" w:start="57" w:end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rPr/>
      </w:pPr>
      <w:r>
        <w:br w:type="page"/>
      </w: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397" w:end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ind w:hanging="0" w:start="252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ind w:hanging="0" w:start="0" w:end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hanging="0" w:start="0" w:end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Sì, quale……………………………………………………..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*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 xml:space="preserve">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DESCRIZIONE SINTETICA DEL P/I/A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60"/>
              <w:ind w:hanging="0" w:start="0" w:end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642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VERIFICA DI CORRISPONDENZA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PREVALUTATO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.1</w:t>
            </w:r>
            <w:r>
              <w:rPr>
                <w:rFonts w:cs="Calibri" w:ascii="Calibri" w:hAnsi="Calibri"/>
                <w:b/>
              </w:rPr>
              <w:t>1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Eventi podistici, ciclistici o equestri anche su viabilità chiusa al transito per i mezzi motorizzati e su rete sentieristica ed eventi sui laghi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aratteristiche progettuali 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Proposto da soggetto privato/pubblico;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sono di carattere podistico, ciclistico, equestre;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svolgono in centri abitati, zone urbane o periurbane o comunque siano limitate all’impiego di viabilità esistente o sentieristica per la quale non si necessitano di manutenzione straordinaria;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sono previste attività notturne;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previsto l’impiego di strumentazione di amplificazione audio;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l’impiego di mezzi di servizio è limitato esclusivamente a veicoli predisposti al soccorso, alla sicurezza e a veicoli di supporto tecnico della gara;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l’eventuale sosta dei mezzi motorizzati avviene in aree delimitate preventivamente e senza recare danno ad eventuali ambienti naturali;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 xml:space="preserve"> </w:t>
            </w: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l’impiego del drone avviene al solo scopo di ripresa video-fotografica dell’evento ed è condizionato al rispetto delle seguenti indicazioni: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è previsto l’impiego di un solo drone;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il decollo e l’atterraggio devono essere svolti direttamente sopra gli obiettivi da riprendere o nel caso di una seguita dell’evento questa venga svolta al di sopra del tratto interessato dall’evento e non oltre;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è vietato il sorvolo in prossimità o al di sopra di pareti rocciose, ghiaioni, aree forestate e in generale ad aree non interferite dalla manifestazione;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non deve essere recato disturbo alla fauna avvicinandosi a questa o inseguendola;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la velocità deve essere limitata e sono categoricamente vietati accelerate e movimenti bruschi e improvvisi;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6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4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stato preventivamente concordato con il personale dell’Ente un periodo di svolgimento dell’evento compatibile con la corretta conservazione della flora e della fauna presente in loco;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5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previsto nel materiale pubblicitario e nella modulistica dell’evento un richiamo alla</w:t>
            </w:r>
          </w:p>
          <w:p>
            <w:pPr>
              <w:pStyle w:val="Normal"/>
              <w:widowControl/>
              <w:numPr>
                <w:ilvl w:val="1"/>
                <w:numId w:val="6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presenza di un sito della rete natura 2000 e/o di un’area protetta inserendo la frase “l’evento si svolge in un’area di particolare pregio ambientale: rispetta il luogo e le sue regole. Per maggiori informazioni https://www.parchialpicozie.it/it/p/rete_natura_2000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6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noltre, per gli eventi svolti all’interno o in prossimità dei laghi si aggiungono le seguente caratteristiche: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sono utilizzati mezzi a motore, fatti salvi motivi di soccorso e/o sicurezza;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-si svolgono nell’ambito di lago utilizzato per le attività nautiche come definito dal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-regolamento di fruizione, se esistente;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-si svolgono nell’ambito di lago utilizzato per le attività natatorie come definito dal regolamento di fruizione, se esistente;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comportano la realizzazione di strutture quali: passerelle, palafitte, imbarcaderi, ormeggi, spiagge e non comporta la predisposizione di ancoraggi di strutture sul fondo;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comportano movimentazione del sedimento di fondo;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è previsto il rilascio di oggetti volanti decorativi, quali palloncini, lanterne volanti o similari;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-eventuali strutture di appoggio (gazebo, banchetti, ecc.) sono collocate in ambiti già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7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  <w:t xml:space="preserve">Altra documentazione </w:t>
            </w:r>
            <w:r>
              <w:rPr>
                <w:rFonts w:cs="Calibri" w:ascii="Calibri" w:hAnsi="Calibri"/>
                <w:b/>
                <w:bCs/>
                <w:i/>
              </w:rPr>
              <w:t>o informazioni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fornit</w:t>
            </w:r>
            <w:r>
              <w:rPr>
                <w:rFonts w:cs="Calibri" w:ascii="Calibri" w:hAnsi="Calibri"/>
                <w:b/>
                <w:bCs/>
                <w:i/>
              </w:rPr>
              <w:t>e utili al fine della verifica di corrispondenza</w:t>
            </w:r>
            <w:r>
              <w:rPr>
                <w:rFonts w:cs="Calibri" w:ascii="Calibri" w:hAnsi="Calibri"/>
                <w:b/>
                <w:bCs/>
                <w:i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Segoe UI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  <w:font w:name="Mang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ucida Sans Unicode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behindDoc="0" distT="0" distB="0" distL="0" distR="0" simplePos="0" locked="0" layoutInCell="0" allowOverlap="1" relativeHeight="14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8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 xml:space="preserve">L.R 19/2009 art. 43 – </w:t>
    </w:r>
    <w:r>
      <w:rPr>
        <w:rFonts w:cs="Calibri" w:ascii="Calibri" w:hAnsi="Calibri"/>
        <w:b/>
        <w:bCs/>
      </w:rPr>
      <w:t>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start"/>
      <w:pPr>
        <w:tabs>
          <w:tab w:val="num" w:pos="0"/>
        </w:tabs>
        <w:ind w:star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">
    <w:name w:val="Enfasi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">
    <w:name w:val="Collegamento Internet visita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">
    <w:name w:val="Collegamento Internet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star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20"/>
        <w:tab w:val="left" w:pos="635" w:leader="none"/>
      </w:tabs>
      <w:kinsoku w:val="true"/>
      <w:overflowPunct w:val="true"/>
      <w:autoSpaceDE w:val="true"/>
      <w:bidi w:val="0"/>
      <w:ind w:hanging="635" w:start="635" w:end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1"/>
    <w:qFormat/>
    <w:pPr>
      <w:widowControl/>
      <w:kinsoku w:val="true"/>
      <w:overflowPunct w:val="true"/>
      <w:autoSpaceDE w:val="true"/>
      <w:bidi w:val="0"/>
      <w:jc w:val="star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star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kinsoku w:val="true"/>
      <w:overflowPunct w:val="true"/>
      <w:autoSpaceDE w:val="true"/>
      <w:bidi w:val="0"/>
      <w:ind w:hanging="499" w:start="1000" w:end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</TotalTime>
  <Application>LibreOffice/24.2.7.2$Windows_X86_64 LibreOffice_project/ee3885777aa7032db5a9b65deec9457448a91162</Application>
  <AppVersion>15.0000</AppVersion>
  <Pages>9</Pages>
  <Words>1221</Words>
  <Characters>9106</Characters>
  <CharactersWithSpaces>10681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/>
  <dc:language>it-IT</dc:language>
  <cp:lastModifiedBy/>
  <cp:lastPrinted>2020-01-10T11:04:00Z</cp:lastPrinted>
  <dcterms:modified xsi:type="dcterms:W3CDTF">2025-12-05T11:23:13Z</dcterms:modified>
  <cp:revision>75</cp:revision>
  <dc:subject/>
  <dc:title/>
</cp:coreProperties>
</file>