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- </w:t>
      </w:r>
      <w:r>
        <w:rPr>
          <w:rFonts w:cs="Calibri" w:ascii="Calibri" w:hAnsi="Calibri"/>
          <w:b/>
          <w:bCs/>
          <w:sz w:val="52"/>
          <w:szCs w:val="52"/>
        </w:rPr>
        <w:t>nuovi edifici</w:t>
      </w:r>
      <w:r>
        <w:rPr>
          <w:rFonts w:cs="Calibri" w:ascii="Calibri" w:hAnsi="Calibri"/>
          <w:b/>
          <w:bCs/>
          <w:sz w:val="52"/>
          <w:szCs w:val="52"/>
        </w:rPr>
        <w:t xml:space="preserve"> - 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è stata presa visione della informativa riguardante 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10"/>
        <w:gridCol w:w="1379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8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0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1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3"/>
        <w:gridCol w:w="7968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7</w:t>
            </w:r>
            <w:r>
              <w:rPr>
                <w:rFonts w:cs="Calibri" w:ascii="Calibri" w:hAnsi="Calibri"/>
                <w:b/>
              </w:rPr>
              <w:t xml:space="preserve">- </w:t>
            </w:r>
            <w:r>
              <w:rPr>
                <w:rFonts w:cs="Calibri" w:ascii="Calibri" w:hAnsi="Calibri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>Edifici di nuova costruzione o sostituzione edilizia, non soggetti agli strumenti urbanistici esecutivi, da effettuarsi all’interno delle perimetrazioni dei centri o nuclei abitati definite o individuate in applicazione della normativa urbanistica vigente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eastAsia="NSimSun"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 w:eastAsia="zh-CN" w:bidi="hi-IN"/>
              </w:rPr>
              <w:t>non deve essere assoggettato alla procedura di VIA (D.lgs. 152/06)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non comporta il taglio di nuclei di alberi/boschetti o alberi isolati aventi diametro maggiore di 30 cm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il cantiere non comporta la realizzazione di nuove piste di accesso o la manutenzione straordinaria di quelle esistenti e l’area di cantiere sia realizzata su piazzali o in aree già fruite a tale scopo o comunque prive di vegetazione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è prevista nuova impermeabilizzazione e artificializzazione delle canalizzazioni o delle sponde di corsi d’acqua e laghi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l’area di intervento non presenta colonie di chirotteri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vengono rispettate le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</w:rPr>
              <w:t xml:space="preserve"> “Linee guida per la gestione e controllo delle specie esotiche vegetali - nell’ambito di cantieri con movimenti terra e interventi di recupero e ripristino ambientale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2" name="Forma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>Altra documentazione o informazioni fornite utili al fine della verifica di corrispondenza: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b/>
                <w:b/>
                <w:bCs/>
                <w:i w:val="false"/>
                <w:i w:val="false"/>
                <w:iCs w:val="false"/>
                <w:color w:val="000000"/>
                <w:shd w:fill="FFFF00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tru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tru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tru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tru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tru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365</TotalTime>
  <Application>LibreOffice/7.3.0.3$Windows_x86 LibreOffice_project/0f246aa12d0eee4a0f7adcefbf7c878fc2238db3</Application>
  <AppVersion>15.0000</AppVersion>
  <Pages>7</Pages>
  <Words>850</Words>
  <Characters>6687</Characters>
  <CharactersWithSpaces>7973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dc:language>it-IT</dc:language>
  <cp:lastModifiedBy/>
  <cp:lastPrinted>2020-01-10T11:04:00Z</cp:lastPrinted>
  <dcterms:modified xsi:type="dcterms:W3CDTF">2024-07-02T11:42:35Z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